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EBF9F5"/>
  <w:body>
    <w:p w:rsidR="00000000" w:rsidDel="00000000" w:rsidP="00000000" w:rsidRDefault="00000000" w:rsidRPr="00000000" w14:paraId="00000001">
      <w:pPr>
        <w:pStyle w:val="Title"/>
        <w:spacing w:before="600" w:lineRule="auto"/>
        <w:rPr>
          <w:rFonts w:ascii="Lexend" w:cs="Lexend" w:eastAsia="Lexend" w:hAnsi="Lexend"/>
          <w:sz w:val="50"/>
          <w:szCs w:val="50"/>
        </w:rPr>
      </w:pPr>
      <w:bookmarkStart w:colFirst="0" w:colLast="0" w:name="_xuhxhk26i84m" w:id="0"/>
      <w:bookmarkEnd w:id="0"/>
      <w:r w:rsidDel="00000000" w:rsidR="00000000" w:rsidRPr="00000000">
        <w:rPr>
          <w:rFonts w:ascii="Lexend" w:cs="Lexend" w:eastAsia="Lexend" w:hAnsi="Lexend"/>
          <w:sz w:val="50"/>
          <w:szCs w:val="50"/>
          <w:rtl w:val="0"/>
        </w:rPr>
        <w:t xml:space="preserve">Methodology Public Consultation: Feedback and response template</w:t>
      </w:r>
      <w:r w:rsidDel="00000000" w:rsidR="00000000" w:rsidRPr="00000000">
        <w:rPr>
          <w:rtl w:val="0"/>
        </w:rPr>
      </w:r>
    </w:p>
    <w:p w:rsidR="00000000" w:rsidDel="00000000" w:rsidP="00000000" w:rsidRDefault="00000000" w:rsidRPr="00000000" w14:paraId="00000002">
      <w:pPr>
        <w:pStyle w:val="Subtitle"/>
        <w:rPr>
          <w:rFonts w:ascii="Lexend" w:cs="Lexend" w:eastAsia="Lexend" w:hAnsi="Lexend"/>
          <w:sz w:val="20"/>
          <w:szCs w:val="20"/>
        </w:rPr>
      </w:pPr>
      <w:bookmarkStart w:colFirst="0" w:colLast="0" w:name="_symdmthh27kh" w:id="1"/>
      <w:bookmarkEnd w:id="1"/>
      <w:r w:rsidDel="00000000" w:rsidR="00000000" w:rsidRPr="00000000">
        <w:rPr>
          <w:rFonts w:ascii="Lexend" w:cs="Lexend" w:eastAsia="Lexend" w:hAnsi="Lexend"/>
          <w:sz w:val="28"/>
          <w:szCs w:val="28"/>
          <w:rtl w:val="0"/>
        </w:rPr>
        <w:t xml:space="preserve">Adoption of nitrogen stabilizers to transition to low-carbon agriculture </w:t>
      </w:r>
      <w:r w:rsidDel="00000000" w:rsidR="00000000" w:rsidRPr="00000000">
        <w:rPr>
          <w:rtl w:val="0"/>
        </w:rPr>
      </w:r>
    </w:p>
    <w:p w:rsidR="00000000" w:rsidDel="00000000" w:rsidP="00000000" w:rsidRDefault="00000000" w:rsidRPr="00000000" w14:paraId="00000003">
      <w:pPr>
        <w:ind w:left="0" w:firstLine="0"/>
        <w:rPr>
          <w:rFonts w:ascii="Lexend" w:cs="Lexend" w:eastAsia="Lexend" w:hAnsi="Lexend"/>
        </w:rPr>
      </w:pPr>
      <w:r w:rsidDel="00000000" w:rsidR="00000000" w:rsidRPr="00000000">
        <w:rPr>
          <w:rFonts w:ascii="Lexend" w:cs="Lexend" w:eastAsia="Lexend" w:hAnsi="Lexend"/>
          <w:rtl w:val="0"/>
        </w:rPr>
        <w:t xml:space="preserve">Proba is developing a Greenhouse Gas (GHG) methodology, along with the International Fertilizer Association, that quantifies and credits greenhouse gas (GHG) emission reductions resulting from the use of nitrogen stabilizers—such as urease and nitrification inhibitors—applied alongside conventional fertilizers in agricultural systems. Your feedback is crucial in shaping this methodology during the public consultation period.</w:t>
      </w:r>
    </w:p>
    <w:p w:rsidR="00000000" w:rsidDel="00000000" w:rsidP="00000000" w:rsidRDefault="00000000" w:rsidRPr="00000000" w14:paraId="00000004">
      <w:pPr>
        <w:ind w:left="0" w:firstLine="0"/>
        <w:rPr>
          <w:rFonts w:ascii="Lexend" w:cs="Lexend" w:eastAsia="Lexend" w:hAnsi="Lexend"/>
        </w:rPr>
      </w:pPr>
      <w:r w:rsidDel="00000000" w:rsidR="00000000" w:rsidRPr="00000000">
        <w:rPr>
          <w:rFonts w:ascii="Lexend" w:cs="Lexend" w:eastAsia="Lexend" w:hAnsi="Lexend"/>
          <w:rtl w:val="0"/>
        </w:rPr>
        <w:br w:type="textWrapping"/>
        <w:t xml:space="preserve">The public consultation period is open between 03 April 2025 to 03 May 2025. </w:t>
      </w:r>
    </w:p>
    <w:p w:rsidR="00000000" w:rsidDel="00000000" w:rsidP="00000000" w:rsidRDefault="00000000" w:rsidRPr="00000000" w14:paraId="00000005">
      <w:pPr>
        <w:ind w:left="0" w:firstLine="0"/>
        <w:rPr>
          <w:rFonts w:ascii="Lexend" w:cs="Lexend" w:eastAsia="Lexend" w:hAnsi="Lexend"/>
        </w:rPr>
      </w:pPr>
      <w:r w:rsidDel="00000000" w:rsidR="00000000" w:rsidRPr="00000000">
        <w:rPr>
          <w:rFonts w:ascii="Lexend" w:cs="Lexend" w:eastAsia="Lexend" w:hAnsi="Lexend"/>
          <w:rtl w:val="0"/>
        </w:rPr>
        <w:br w:type="textWrapping"/>
        <w:t xml:space="preserve">We appreciate your time and valuable insights in helping us refine this methodology.</w:t>
      </w:r>
    </w:p>
    <w:p w:rsidR="00000000" w:rsidDel="00000000" w:rsidP="00000000" w:rsidRDefault="00000000" w:rsidRPr="00000000" w14:paraId="00000006">
      <w:pPr>
        <w:ind w:left="0" w:firstLine="0"/>
        <w:rPr>
          <w:color w:val="35b28d"/>
          <w:sz w:val="24"/>
          <w:szCs w:val="24"/>
        </w:rPr>
      </w:pPr>
      <w:r w:rsidDel="00000000" w:rsidR="00000000" w:rsidRPr="00000000">
        <w:rPr>
          <w:rFonts w:ascii="Lexend" w:cs="Lexend" w:eastAsia="Lexend" w:hAnsi="Lexend"/>
          <w:rtl w:val="0"/>
        </w:rPr>
        <w:br w:type="textWrapping"/>
        <w:t xml:space="preserve">You can find the methodology document </w:t>
      </w:r>
      <w:hyperlink r:id="rId6">
        <w:r w:rsidDel="00000000" w:rsidR="00000000" w:rsidRPr="00000000">
          <w:rPr>
            <w:rFonts w:ascii="Lexend" w:cs="Lexend" w:eastAsia="Lexend" w:hAnsi="Lexend"/>
            <w:color w:val="35b28d"/>
            <w:u w:val="single"/>
            <w:rtl w:val="0"/>
          </w:rPr>
          <w:t xml:space="preserve">here</w:t>
        </w:r>
      </w:hyperlink>
      <w:r w:rsidDel="00000000" w:rsidR="00000000" w:rsidRPr="00000000">
        <w:rPr>
          <w:rFonts w:ascii="Lexend" w:cs="Lexend" w:eastAsia="Lexend" w:hAnsi="Lexend"/>
          <w:color w:val="35b28d"/>
          <w:rtl w:val="0"/>
        </w:rPr>
        <w:t xml:space="preserve">. </w:t>
      </w:r>
      <w:r w:rsidDel="00000000" w:rsidR="00000000" w:rsidRPr="00000000">
        <w:rPr>
          <w:rtl w:val="0"/>
        </w:rPr>
      </w:r>
    </w:p>
    <w:p w:rsidR="00000000" w:rsidDel="00000000" w:rsidP="00000000" w:rsidRDefault="00000000" w:rsidRPr="00000000" w14:paraId="00000007">
      <w:pPr>
        <w:pStyle w:val="Heading1"/>
        <w:rPr/>
      </w:pPr>
      <w:bookmarkStart w:colFirst="0" w:colLast="0" w:name="_cjl84bgsh60g" w:id="2"/>
      <w:bookmarkEnd w:id="2"/>
      <w:r w:rsidDel="00000000" w:rsidR="00000000" w:rsidRPr="00000000">
        <w:rPr>
          <w:rFonts w:ascii="Lexend" w:cs="Lexend" w:eastAsia="Lexend" w:hAnsi="Lexend"/>
          <w:sz w:val="38"/>
          <w:szCs w:val="38"/>
          <w:rtl w:val="0"/>
        </w:rPr>
        <w:t xml:space="preserve">Introductory section</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0.0000000000005"/>
        <w:gridCol w:w="5990"/>
        <w:tblGridChange w:id="0">
          <w:tblGrid>
            <w:gridCol w:w="3010.0000000000005"/>
            <w:gridCol w:w="5990"/>
          </w:tblGrid>
        </w:tblGridChange>
      </w:tblGrid>
      <w:tr>
        <w:trPr>
          <w:cantSplit w:val="0"/>
          <w:trHeight w:val="420" w:hRule="atLeast"/>
          <w:tblHeader w:val="0"/>
        </w:trPr>
        <w:tc>
          <w:tcPr>
            <w:gridSpan w:val="2"/>
            <w:tcBorders>
              <w:top w:color="82cdb5" w:space="0" w:sz="8" w:val="single"/>
              <w:left w:color="82cdb5" w:space="0" w:sz="8" w:val="single"/>
              <w:bottom w:color="82cdb5" w:space="0" w:sz="8" w:val="single"/>
              <w:right w:color="82cdb5" w:space="0" w:sz="8" w:val="single"/>
            </w:tcBorders>
            <w:shd w:fill="82cdb5" w:val="clear"/>
            <w:tcMar>
              <w:top w:w="100.0" w:type="dxa"/>
              <w:left w:w="100.0" w:type="dxa"/>
              <w:bottom w:w="100.0" w:type="dxa"/>
              <w:right w:w="100.0" w:type="dxa"/>
            </w:tcMar>
            <w:vAlign w:val="top"/>
          </w:tcPr>
          <w:p w:rsidR="00000000" w:rsidDel="00000000" w:rsidP="00000000" w:rsidRDefault="00000000" w:rsidRPr="00000000" w14:paraId="00000009">
            <w:pPr>
              <w:ind w:left="0" w:firstLine="0"/>
              <w:rPr>
                <w:rFonts w:ascii="Lexend" w:cs="Lexend" w:eastAsia="Lexend" w:hAnsi="Lexend"/>
              </w:rPr>
            </w:pPr>
            <w:r w:rsidDel="00000000" w:rsidR="00000000" w:rsidRPr="00000000">
              <w:rPr>
                <w:rFonts w:ascii="Lexend" w:cs="Lexend" w:eastAsia="Lexend" w:hAnsi="Lexend"/>
                <w:rtl w:val="0"/>
              </w:rPr>
              <w:t xml:space="preserve">Your personal details</w:t>
            </w:r>
            <w:r w:rsidDel="00000000" w:rsidR="00000000" w:rsidRPr="00000000">
              <w:rPr>
                <w:rtl w:val="0"/>
              </w:rPr>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ind w:left="0" w:firstLine="0"/>
              <w:rPr/>
            </w:pPr>
            <w:r w:rsidDel="00000000" w:rsidR="00000000" w:rsidRPr="00000000">
              <w:rPr>
                <w:rFonts w:ascii="Lexend" w:cs="Lexend" w:eastAsia="Lexend" w:hAnsi="Lexend"/>
                <w:rtl w:val="0"/>
              </w:rPr>
              <w:t xml:space="preserve">Full name:</w:t>
            </w:r>
            <w:r w:rsidDel="00000000" w:rsidR="00000000" w:rsidRPr="00000000">
              <w:rPr>
                <w:rtl w:val="0"/>
              </w:rPr>
            </w:r>
          </w:p>
        </w:tc>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rPr/>
            </w:pPr>
            <w:r w:rsidDel="00000000" w:rsidR="00000000" w:rsidRPr="00000000">
              <w:rPr>
                <w:rFonts w:ascii="Lexend" w:cs="Lexend" w:eastAsia="Lexend" w:hAnsi="Lexend"/>
                <w:rtl w:val="0"/>
              </w:rPr>
              <w:t xml:space="preserve">Company/Organization: </w:t>
            </w:r>
            <w:r w:rsidDel="00000000" w:rsidR="00000000" w:rsidRPr="00000000">
              <w:rPr>
                <w:rtl w:val="0"/>
              </w:rPr>
            </w:r>
          </w:p>
        </w:tc>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rPr/>
            </w:pPr>
            <w:r w:rsidDel="00000000" w:rsidR="00000000" w:rsidRPr="00000000">
              <w:rPr>
                <w:rFonts w:ascii="Lexend" w:cs="Lexend" w:eastAsia="Lexend" w:hAnsi="Lexend"/>
                <w:rtl w:val="0"/>
              </w:rPr>
              <w:t xml:space="preserve">Country:</w:t>
            </w:r>
            <w:r w:rsidDel="00000000" w:rsidR="00000000" w:rsidRPr="00000000">
              <w:rPr>
                <w:rtl w:val="0"/>
              </w:rPr>
            </w:r>
          </w:p>
        </w:tc>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90.000000000001"/>
        <w:gridCol w:w="909.9999999999994"/>
        <w:tblGridChange w:id="0">
          <w:tblGrid>
            <w:gridCol w:w="8090.000000000001"/>
            <w:gridCol w:w="909.9999999999994"/>
          </w:tblGrid>
        </w:tblGridChange>
      </w:tblGrid>
      <w:tr>
        <w:trPr>
          <w:cantSplit w:val="0"/>
          <w:trHeight w:val="420" w:hRule="atLeast"/>
          <w:tblHeader w:val="0"/>
        </w:trPr>
        <w:tc>
          <w:tcPr>
            <w:gridSpan w:val="2"/>
            <w:tcBorders>
              <w:top w:color="82cdb5" w:space="0" w:sz="8" w:val="single"/>
              <w:left w:color="82cdb5" w:space="0" w:sz="8" w:val="single"/>
              <w:bottom w:color="82cdb5" w:space="0" w:sz="8" w:val="single"/>
              <w:right w:color="82cdb5" w:space="0" w:sz="8" w:val="single"/>
            </w:tcBorders>
            <w:shd w:fill="82cdb5" w:val="clear"/>
            <w:tcMar>
              <w:top w:w="100.0" w:type="dxa"/>
              <w:left w:w="100.0" w:type="dxa"/>
              <w:bottom w:w="100.0" w:type="dxa"/>
              <w:right w:w="100.0" w:type="dxa"/>
            </w:tcMar>
            <w:vAlign w:val="top"/>
          </w:tcPr>
          <w:p w:rsidR="00000000" w:rsidDel="00000000" w:rsidP="00000000" w:rsidRDefault="00000000" w:rsidRPr="00000000" w14:paraId="00000013">
            <w:pPr>
              <w:rPr>
                <w:rFonts w:ascii="Lexend" w:cs="Lexend" w:eastAsia="Lexend" w:hAnsi="Lexend"/>
              </w:rPr>
            </w:pPr>
            <w:r w:rsidDel="00000000" w:rsidR="00000000" w:rsidRPr="00000000">
              <w:rPr>
                <w:rFonts w:ascii="Lexend" w:cs="Lexend" w:eastAsia="Lexend" w:hAnsi="Lexend"/>
                <w:rtl w:val="0"/>
              </w:rPr>
              <w:t xml:space="preserve">Do you consent to Proba publishing your organization’s name on the Proba website as part of the summary of public comments received?</w:t>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exend" w:cs="Lexend" w:eastAsia="Lexend" w:hAnsi="Lexend"/>
              </w:rPr>
            </w:pPr>
            <w:r w:rsidDel="00000000" w:rsidR="00000000" w:rsidRPr="00000000">
              <w:rPr>
                <w:rFonts w:ascii="Lexend" w:cs="Lexend" w:eastAsia="Lexend" w:hAnsi="Lexend"/>
                <w:rtl w:val="0"/>
              </w:rPr>
              <w:t xml:space="preserve">Yes, I consent to my organization's name being published.</w:t>
            </w:r>
          </w:p>
        </w:tc>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exend" w:cs="Lexend" w:eastAsia="Lexend" w:hAnsi="Lexend"/>
              </w:rPr>
            </w:pPr>
            <w:r w:rsidDel="00000000" w:rsidR="00000000" w:rsidRPr="00000000">
              <w:rPr>
                <w:rFonts w:ascii="Lexend" w:cs="Lexend" w:eastAsia="Lexend" w:hAnsi="Lexend"/>
                <w:rtl w:val="0"/>
              </w:rPr>
              <w:t xml:space="preserve">No, I wish to provide feedback anonymously.</w:t>
            </w:r>
          </w:p>
        </w:tc>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r>
          </w:p>
        </w:tc>
      </w:tr>
    </w:tbl>
    <w:p w:rsidR="00000000" w:rsidDel="00000000" w:rsidP="00000000" w:rsidRDefault="00000000" w:rsidRPr="00000000" w14:paraId="00000019">
      <w:pPr>
        <w:ind w:left="0" w:firstLine="0"/>
        <w:rPr>
          <w:rFonts w:ascii="Lexend" w:cs="Lexend" w:eastAsia="Lexend" w:hAnsi="Lexend"/>
        </w:rPr>
      </w:pPr>
      <w:r w:rsidDel="00000000" w:rsidR="00000000" w:rsidRPr="00000000">
        <w:rPr>
          <w:rtl w:val="0"/>
        </w:rPr>
      </w:r>
    </w:p>
    <w:p w:rsidR="00000000" w:rsidDel="00000000" w:rsidP="00000000" w:rsidRDefault="00000000" w:rsidRPr="00000000" w14:paraId="0000001A">
      <w:pPr>
        <w:ind w:left="0" w:firstLine="0"/>
        <w:rPr>
          <w:rFonts w:ascii="Lexend" w:cs="Lexend" w:eastAsia="Lexend" w:hAnsi="Lexend"/>
          <w:sz w:val="38"/>
          <w:szCs w:val="38"/>
        </w:rPr>
        <w:sectPr>
          <w:headerReference r:id="rId7" w:type="default"/>
          <w:footerReference r:id="rId8" w:type="default"/>
          <w:pgSz w:h="16838" w:w="11906"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B">
      <w:pPr>
        <w:ind w:left="0" w:firstLine="0"/>
        <w:rPr>
          <w:rFonts w:ascii="Lexend" w:cs="Lexend" w:eastAsia="Lexend" w:hAnsi="Lexend"/>
          <w:sz w:val="38"/>
          <w:szCs w:val="38"/>
        </w:rPr>
      </w:pPr>
      <w:r w:rsidDel="00000000" w:rsidR="00000000" w:rsidRPr="00000000">
        <w:rPr>
          <w:rFonts w:ascii="Lexend" w:cs="Lexend" w:eastAsia="Lexend" w:hAnsi="Lexend"/>
          <w:sz w:val="38"/>
          <w:szCs w:val="38"/>
          <w:rtl w:val="0"/>
        </w:rPr>
        <w:t xml:space="preserve">How to use feedback template</w:t>
      </w:r>
    </w:p>
    <w:p w:rsidR="00000000" w:rsidDel="00000000" w:rsidP="00000000" w:rsidRDefault="00000000" w:rsidRPr="00000000" w14:paraId="0000001C">
      <w:pPr>
        <w:rPr>
          <w:rFonts w:ascii="Lexend" w:cs="Lexend" w:eastAsia="Lexend" w:hAnsi="Lexend"/>
        </w:rPr>
      </w:pPr>
      <w:r w:rsidDel="00000000" w:rsidR="00000000" w:rsidRPr="00000000">
        <w:rPr>
          <w:rtl w:val="0"/>
        </w:rPr>
      </w:r>
    </w:p>
    <w:p w:rsidR="00000000" w:rsidDel="00000000" w:rsidP="00000000" w:rsidRDefault="00000000" w:rsidRPr="00000000" w14:paraId="0000001D">
      <w:pPr>
        <w:rPr>
          <w:rFonts w:ascii="Lexend" w:cs="Lexend" w:eastAsia="Lexend" w:hAnsi="Lexend"/>
        </w:rPr>
      </w:pPr>
      <w:r w:rsidDel="00000000" w:rsidR="00000000" w:rsidRPr="00000000">
        <w:rPr>
          <w:rFonts w:ascii="Lexend" w:cs="Lexend" w:eastAsia="Lexend" w:hAnsi="Lexend"/>
          <w:rtl w:val="0"/>
        </w:rPr>
        <w:t xml:space="preserve">The following section has been organized to make it easier to provide targeted feedback, based on the topics that we believe need more attention. You are welcome to provide any other feedback as you see fit.</w:t>
      </w:r>
    </w:p>
    <w:p w:rsidR="00000000" w:rsidDel="00000000" w:rsidP="00000000" w:rsidRDefault="00000000" w:rsidRPr="00000000" w14:paraId="0000001E">
      <w:pPr>
        <w:pStyle w:val="Heading1"/>
        <w:rPr>
          <w:rFonts w:ascii="Lexend" w:cs="Lexend" w:eastAsia="Lexend" w:hAnsi="Lexend"/>
          <w:sz w:val="38"/>
          <w:szCs w:val="38"/>
        </w:rPr>
      </w:pPr>
      <w:bookmarkStart w:colFirst="0" w:colLast="0" w:name="_4m8cdvjkg4jv" w:id="3"/>
      <w:bookmarkEnd w:id="3"/>
      <w:r w:rsidDel="00000000" w:rsidR="00000000" w:rsidRPr="00000000">
        <w:rPr>
          <w:rFonts w:ascii="Lexend" w:cs="Lexend" w:eastAsia="Lexend" w:hAnsi="Lexend"/>
          <w:sz w:val="38"/>
          <w:szCs w:val="38"/>
          <w:rtl w:val="0"/>
        </w:rPr>
        <w:t xml:space="preserve">Feedback questions</w:t>
      </w:r>
    </w:p>
    <w:p w:rsidR="00000000" w:rsidDel="00000000" w:rsidP="00000000" w:rsidRDefault="00000000" w:rsidRPr="00000000" w14:paraId="0000001F">
      <w:pPr>
        <w:rPr/>
      </w:pPr>
      <w:r w:rsidDel="00000000" w:rsidR="00000000" w:rsidRPr="00000000">
        <w:rPr>
          <w:rtl w:val="0"/>
        </w:rPr>
      </w:r>
    </w:p>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Fonts w:ascii="Lexend" w:cs="Lexend" w:eastAsia="Lexend" w:hAnsi="Lexend"/>
                <w:b w:val="1"/>
                <w:color w:val="202124"/>
                <w:rtl w:val="0"/>
              </w:rPr>
              <w:t xml:space="preserve">1.2 Applicability </w:t>
            </w:r>
            <w:r w:rsidDel="00000000" w:rsidR="00000000" w:rsidRPr="00000000">
              <w:rPr>
                <w:rtl w:val="0"/>
              </w:rPr>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ind w:left="0" w:firstLine="0"/>
              <w:rPr>
                <w:rFonts w:ascii="Lexend" w:cs="Lexend" w:eastAsia="Lexend" w:hAnsi="Lexend"/>
                <w:color w:val="202124"/>
              </w:rPr>
            </w:pPr>
            <w:r w:rsidDel="00000000" w:rsidR="00000000" w:rsidRPr="00000000">
              <w:rPr>
                <w:rFonts w:ascii="Lexend" w:cs="Lexend" w:eastAsia="Lexend" w:hAnsi="Lexend"/>
                <w:color w:val="202124"/>
                <w:rtl w:val="0"/>
              </w:rPr>
              <w:t xml:space="preserve">For Land Management Unit (LMU) type of projects, project developers must demonstrate that nitrogen inputs are applied at appropriate rates based on regional agronomic guidelines or best practices, ensuring baseline fertilization is neither excessive nor deficient. This is to ensure that projects are not rewarded for overapplying N, compared to the common regional practices, and thus generating additional emission reductions. This means we are requiring that the project NUE be benchmarked against regional-historial NUE. </w:t>
            </w:r>
          </w:p>
          <w:p w:rsidR="00000000" w:rsidDel="00000000" w:rsidP="00000000" w:rsidRDefault="00000000" w:rsidRPr="00000000" w14:paraId="00000022">
            <w:pPr>
              <w:numPr>
                <w:ilvl w:val="0"/>
                <w:numId w:val="3"/>
              </w:numPr>
              <w:ind w:left="720" w:hanging="360"/>
              <w:rPr>
                <w:rFonts w:ascii="Lexend" w:cs="Lexend" w:eastAsia="Lexend" w:hAnsi="Lexend"/>
                <w:color w:val="202124"/>
                <w:u w:val="none"/>
              </w:rPr>
            </w:pPr>
            <w:r w:rsidDel="00000000" w:rsidR="00000000" w:rsidRPr="00000000">
              <w:rPr>
                <w:rFonts w:ascii="Lexend" w:cs="Lexend" w:eastAsia="Lexend" w:hAnsi="Lexend"/>
                <w:color w:val="202124"/>
                <w:rtl w:val="0"/>
              </w:rPr>
              <w:t xml:space="preserve">Do you agree with this approach?</w:t>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Lexend" w:cs="Lexend" w:eastAsia="Lexend" w:hAnsi="Lexend"/>
              </w:rPr>
            </w:pPr>
            <w:r w:rsidDel="00000000" w:rsidR="00000000" w:rsidRPr="00000000">
              <w:rPr>
                <w:rFonts w:ascii="Lexend" w:cs="Lexend" w:eastAsia="Lexend" w:hAnsi="Lexend"/>
                <w:rtl w:val="0"/>
              </w:rPr>
              <w:t xml:space="preserve">Your input:</w:t>
            </w:r>
          </w:p>
        </w:tc>
      </w:tr>
    </w:tbl>
    <w:p w:rsidR="00000000" w:rsidDel="00000000" w:rsidP="00000000" w:rsidRDefault="00000000" w:rsidRPr="00000000" w14:paraId="00000024">
      <w:pPr>
        <w:rPr/>
      </w:pPr>
      <w:r w:rsidDel="00000000" w:rsidR="00000000" w:rsidRPr="00000000">
        <w:rPr>
          <w:rtl w:val="0"/>
        </w:rPr>
      </w:r>
    </w:p>
    <w:tbl>
      <w:tblPr>
        <w:tblStyle w:val="Table4"/>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ind w:left="0" w:firstLine="0"/>
              <w:rPr/>
            </w:pPr>
            <w:r w:rsidDel="00000000" w:rsidR="00000000" w:rsidRPr="00000000">
              <w:rPr>
                <w:rFonts w:ascii="Lexend" w:cs="Lexend" w:eastAsia="Lexend" w:hAnsi="Lexend"/>
                <w:b w:val="1"/>
                <w:color w:val="202124"/>
                <w:rtl w:val="0"/>
              </w:rPr>
              <w:t xml:space="preserve">1.5 Crediting period </w:t>
            </w:r>
            <w:r w:rsidDel="00000000" w:rsidR="00000000" w:rsidRPr="00000000">
              <w:rPr>
                <w:rtl w:val="0"/>
              </w:rPr>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ind w:left="0" w:firstLine="0"/>
              <w:rPr>
                <w:rFonts w:ascii="Lexend" w:cs="Lexend" w:eastAsia="Lexend" w:hAnsi="Lexend"/>
                <w:color w:val="202124"/>
              </w:rPr>
            </w:pPr>
            <w:r w:rsidDel="00000000" w:rsidR="00000000" w:rsidRPr="00000000">
              <w:rPr>
                <w:rFonts w:ascii="Lexend" w:cs="Lexend" w:eastAsia="Lexend" w:hAnsi="Lexend"/>
                <w:color w:val="202124"/>
                <w:rtl w:val="0"/>
              </w:rPr>
              <w:t xml:space="preserve">The methodology proposes a crediting period of up to a maximum of 7-years. </w:t>
            </w:r>
          </w:p>
          <w:p w:rsidR="00000000" w:rsidDel="00000000" w:rsidP="00000000" w:rsidRDefault="00000000" w:rsidRPr="00000000" w14:paraId="00000027">
            <w:pPr>
              <w:numPr>
                <w:ilvl w:val="0"/>
                <w:numId w:val="1"/>
              </w:numPr>
              <w:ind w:left="720" w:hanging="360"/>
              <w:rPr>
                <w:rFonts w:ascii="Lexend" w:cs="Lexend" w:eastAsia="Lexend" w:hAnsi="Lexend"/>
                <w:color w:val="202124"/>
                <w:u w:val="none"/>
              </w:rPr>
            </w:pPr>
            <w:r w:rsidDel="00000000" w:rsidR="00000000" w:rsidRPr="00000000">
              <w:rPr>
                <w:rFonts w:ascii="Lexend" w:cs="Lexend" w:eastAsia="Lexend" w:hAnsi="Lexend"/>
                <w:color w:val="202124"/>
                <w:rtl w:val="0"/>
              </w:rPr>
              <w:t xml:space="preserve">How suitable do you find this duration for ensuring both environmental integrity and project viability? Please share your reasoning and any suggestions for alternative durations.</w:t>
            </w:r>
            <w:r w:rsidDel="00000000" w:rsidR="00000000" w:rsidRPr="00000000">
              <w:rPr>
                <w:rtl w:val="0"/>
              </w:rPr>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Fonts w:ascii="Lexend" w:cs="Lexend" w:eastAsia="Lexend" w:hAnsi="Lexend"/>
                <w:rtl w:val="0"/>
              </w:rPr>
              <w:t xml:space="preserve">Your input:</w:t>
            </w:r>
          </w:p>
        </w:tc>
      </w:tr>
    </w:tbl>
    <w:p w:rsidR="00000000" w:rsidDel="00000000" w:rsidP="00000000" w:rsidRDefault="00000000" w:rsidRPr="00000000" w14:paraId="00000029">
      <w:pPr>
        <w:rPr/>
      </w:pPr>
      <w:r w:rsidDel="00000000" w:rsidR="00000000" w:rsidRPr="00000000">
        <w:rPr>
          <w:rtl w:val="0"/>
        </w:rPr>
      </w:r>
    </w:p>
    <w:tbl>
      <w:tblPr>
        <w:tblStyle w:val="Table5"/>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rPr>
                <w:rFonts w:ascii="Lexend" w:cs="Lexend" w:eastAsia="Lexend" w:hAnsi="Lexend"/>
                <w:b w:val="1"/>
                <w:color w:val="202124"/>
              </w:rPr>
            </w:pPr>
            <w:r w:rsidDel="00000000" w:rsidR="00000000" w:rsidRPr="00000000">
              <w:rPr>
                <w:rFonts w:ascii="Lexend" w:cs="Lexend" w:eastAsia="Lexend" w:hAnsi="Lexend"/>
                <w:b w:val="1"/>
                <w:color w:val="202124"/>
                <w:rtl w:val="0"/>
              </w:rPr>
              <w:t xml:space="preserve">1.8 Leakage &amp; permanence</w:t>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ind w:left="0" w:firstLine="0"/>
              <w:rPr>
                <w:rFonts w:ascii="Lexend" w:cs="Lexend" w:eastAsia="Lexend" w:hAnsi="Lexend"/>
                <w:color w:val="202124"/>
              </w:rPr>
            </w:pPr>
            <w:r w:rsidDel="00000000" w:rsidR="00000000" w:rsidRPr="00000000">
              <w:rPr>
                <w:rFonts w:ascii="Lexend" w:cs="Lexend" w:eastAsia="Lexend" w:hAnsi="Lexend"/>
                <w:color w:val="202124"/>
                <w:rtl w:val="0"/>
              </w:rPr>
              <w:t xml:space="preserve">The methodology includes a method to account for leakage related to crop yield decrease (NUE check). </w:t>
            </w:r>
          </w:p>
          <w:p w:rsidR="00000000" w:rsidDel="00000000" w:rsidP="00000000" w:rsidRDefault="00000000" w:rsidRPr="00000000" w14:paraId="0000002C">
            <w:pPr>
              <w:numPr>
                <w:ilvl w:val="0"/>
                <w:numId w:val="4"/>
              </w:numPr>
              <w:ind w:left="720" w:hanging="360"/>
              <w:rPr>
                <w:rFonts w:ascii="Lexend" w:cs="Lexend" w:eastAsia="Lexend" w:hAnsi="Lexend"/>
                <w:color w:val="202124"/>
              </w:rPr>
            </w:pPr>
            <w:r w:rsidDel="00000000" w:rsidR="00000000" w:rsidRPr="00000000">
              <w:rPr>
                <w:rFonts w:ascii="Lexend" w:cs="Lexend" w:eastAsia="Lexend" w:hAnsi="Lexend"/>
                <w:color w:val="202124"/>
                <w:rtl w:val="0"/>
              </w:rPr>
              <w:t xml:space="preserve">Do you agree with this method?</w:t>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Lexend" w:cs="Lexend" w:eastAsia="Lexend" w:hAnsi="Lexend"/>
              </w:rPr>
            </w:pPr>
            <w:r w:rsidDel="00000000" w:rsidR="00000000" w:rsidRPr="00000000">
              <w:rPr>
                <w:rFonts w:ascii="Lexend" w:cs="Lexend" w:eastAsia="Lexend" w:hAnsi="Lexend"/>
                <w:rtl w:val="0"/>
              </w:rPr>
              <w:t xml:space="preserve">Your input:</w:t>
            </w:r>
          </w:p>
        </w:tc>
      </w:tr>
    </w:tbl>
    <w:p w:rsidR="00000000" w:rsidDel="00000000" w:rsidP="00000000" w:rsidRDefault="00000000" w:rsidRPr="00000000" w14:paraId="0000002E">
      <w:pPr>
        <w:rPr/>
      </w:pPr>
      <w:r w:rsidDel="00000000" w:rsidR="00000000" w:rsidRPr="00000000">
        <w:br w:type="page"/>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tbl>
      <w:tblPr>
        <w:tblStyle w:val="Table6"/>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rPr>
                <w:rFonts w:ascii="Lexend" w:cs="Lexend" w:eastAsia="Lexend" w:hAnsi="Lexend"/>
                <w:b w:val="1"/>
                <w:color w:val="202124"/>
              </w:rPr>
            </w:pPr>
            <w:r w:rsidDel="00000000" w:rsidR="00000000" w:rsidRPr="00000000">
              <w:rPr>
                <w:rFonts w:ascii="Lexend" w:cs="Lexend" w:eastAsia="Lexend" w:hAnsi="Lexend"/>
                <w:b w:val="1"/>
                <w:color w:val="202124"/>
                <w:rtl w:val="0"/>
              </w:rPr>
              <w:t xml:space="preserve">2.1 Scope of activities</w:t>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ind w:left="0" w:firstLine="0"/>
              <w:rPr>
                <w:rFonts w:ascii="Lexend" w:cs="Lexend" w:eastAsia="Lexend" w:hAnsi="Lexend"/>
                <w:color w:val="202124"/>
              </w:rPr>
            </w:pPr>
            <w:r w:rsidDel="00000000" w:rsidR="00000000" w:rsidRPr="00000000">
              <w:rPr>
                <w:rFonts w:ascii="Lexend" w:cs="Lexend" w:eastAsia="Lexend" w:hAnsi="Lexend"/>
                <w:color w:val="202124"/>
                <w:rtl w:val="0"/>
              </w:rPr>
              <w:t xml:space="preserve">Are there any potential sources of emissions or additional factors that the methodology has not considered? Please specify any that should be included and explain their significance (with references).</w:t>
            </w:r>
            <w:r w:rsidDel="00000000" w:rsidR="00000000" w:rsidRPr="00000000">
              <w:rPr>
                <w:rtl w:val="0"/>
              </w:rPr>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Lexend" w:cs="Lexend" w:eastAsia="Lexend" w:hAnsi="Lexend"/>
              </w:rPr>
            </w:pPr>
            <w:r w:rsidDel="00000000" w:rsidR="00000000" w:rsidRPr="00000000">
              <w:rPr>
                <w:rFonts w:ascii="Lexend" w:cs="Lexend" w:eastAsia="Lexend" w:hAnsi="Lexend"/>
                <w:rtl w:val="0"/>
              </w:rPr>
              <w:t xml:space="preserve">Your input:</w:t>
            </w:r>
          </w:p>
        </w:tc>
      </w:tr>
    </w:tbl>
    <w:p w:rsidR="00000000" w:rsidDel="00000000" w:rsidP="00000000" w:rsidRDefault="00000000" w:rsidRPr="00000000" w14:paraId="00000033">
      <w:pPr>
        <w:rPr/>
      </w:pPr>
      <w:r w:rsidDel="00000000" w:rsidR="00000000" w:rsidRPr="00000000">
        <w:rPr>
          <w:rtl w:val="0"/>
        </w:rPr>
      </w:r>
    </w:p>
    <w:tbl>
      <w:tblPr>
        <w:tblStyle w:val="Table7"/>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rPr>
                <w:rFonts w:ascii="Lexend" w:cs="Lexend" w:eastAsia="Lexend" w:hAnsi="Lexend"/>
                <w:b w:val="1"/>
                <w:color w:val="202124"/>
              </w:rPr>
            </w:pPr>
            <w:r w:rsidDel="00000000" w:rsidR="00000000" w:rsidRPr="00000000">
              <w:rPr>
                <w:rFonts w:ascii="Lexend" w:cs="Lexend" w:eastAsia="Lexend" w:hAnsi="Lexend"/>
                <w:b w:val="1"/>
                <w:color w:val="202124"/>
                <w:rtl w:val="0"/>
              </w:rPr>
              <w:t xml:space="preserve">2.2 GHG sources</w:t>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rPr>
                <w:rFonts w:ascii="Lexend" w:cs="Lexend" w:eastAsia="Lexend" w:hAnsi="Lexend"/>
                <w:color w:val="202124"/>
              </w:rPr>
            </w:pPr>
            <w:r w:rsidDel="00000000" w:rsidR="00000000" w:rsidRPr="00000000">
              <w:rPr>
                <w:rFonts w:ascii="Lexend" w:cs="Lexend" w:eastAsia="Lexend" w:hAnsi="Lexend"/>
                <w:color w:val="202124"/>
                <w:rtl w:val="0"/>
              </w:rPr>
              <w:t xml:space="preserve">Although this methodology focuses on the intervention of N-stabilizers, we do want to make sure that integrity of this claim is sufficiently supported by preventing increases in other sources on fields during the project period. To address this, the methodology states that “</w:t>
            </w:r>
            <w:r w:rsidDel="00000000" w:rsidR="00000000" w:rsidRPr="00000000">
              <w:rPr>
                <w:rFonts w:ascii="Lexend" w:cs="Lexend" w:eastAsia="Lexend" w:hAnsi="Lexend"/>
                <w:i w:val="1"/>
                <w:color w:val="202124"/>
                <w:rtl w:val="0"/>
              </w:rPr>
              <w:t xml:space="preserve">The project developer must be transparent and report on additional activities that happen along with or because of the introduction of N stabilizers, which can lead to material changes of emissions on the field.</w:t>
            </w:r>
            <w:r w:rsidDel="00000000" w:rsidR="00000000" w:rsidRPr="00000000">
              <w:rPr>
                <w:rFonts w:ascii="Lexend" w:cs="Lexend" w:eastAsia="Lexend" w:hAnsi="Lexend"/>
                <w:color w:val="202124"/>
                <w:rtl w:val="0"/>
              </w:rPr>
              <w:t xml:space="preserve">” </w:t>
            </w:r>
          </w:p>
          <w:p w:rsidR="00000000" w:rsidDel="00000000" w:rsidP="00000000" w:rsidRDefault="00000000" w:rsidRPr="00000000" w14:paraId="00000036">
            <w:pPr>
              <w:numPr>
                <w:ilvl w:val="0"/>
                <w:numId w:val="4"/>
              </w:numPr>
              <w:ind w:left="720" w:hanging="360"/>
              <w:rPr>
                <w:rFonts w:ascii="Lexend" w:cs="Lexend" w:eastAsia="Lexend" w:hAnsi="Lexend"/>
                <w:color w:val="202124"/>
              </w:rPr>
            </w:pPr>
            <w:r w:rsidDel="00000000" w:rsidR="00000000" w:rsidRPr="00000000">
              <w:rPr>
                <w:rFonts w:ascii="Lexend" w:cs="Lexend" w:eastAsia="Lexend" w:hAnsi="Lexend"/>
                <w:color w:val="202124"/>
                <w:rtl w:val="0"/>
              </w:rPr>
              <w:t xml:space="preserve">Do you think this approach is sufficient? </w:t>
            </w:r>
            <w:r w:rsidDel="00000000" w:rsidR="00000000" w:rsidRPr="00000000">
              <w:rPr>
                <w:rtl w:val="0"/>
              </w:rPr>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Lexend" w:cs="Lexend" w:eastAsia="Lexend" w:hAnsi="Lexend"/>
              </w:rPr>
            </w:pPr>
            <w:r w:rsidDel="00000000" w:rsidR="00000000" w:rsidRPr="00000000">
              <w:rPr>
                <w:rFonts w:ascii="Lexend" w:cs="Lexend" w:eastAsia="Lexend" w:hAnsi="Lexend"/>
                <w:rtl w:val="0"/>
              </w:rPr>
              <w:t xml:space="preserve">Your input:</w:t>
            </w:r>
          </w:p>
        </w:tc>
      </w:tr>
    </w:tbl>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tbl>
      <w:tblPr>
        <w:tblStyle w:val="Table8"/>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rPr>
                <w:rFonts w:ascii="Lexend" w:cs="Lexend" w:eastAsia="Lexend" w:hAnsi="Lexend"/>
                <w:b w:val="1"/>
                <w:color w:val="202124"/>
              </w:rPr>
            </w:pPr>
            <w:r w:rsidDel="00000000" w:rsidR="00000000" w:rsidRPr="00000000">
              <w:rPr>
                <w:rFonts w:ascii="Lexend" w:cs="Lexend" w:eastAsia="Lexend" w:hAnsi="Lexend"/>
                <w:b w:val="1"/>
                <w:color w:val="202124"/>
                <w:rtl w:val="0"/>
              </w:rPr>
              <w:t xml:space="preserve">2.3 Spatial boundaries</w:t>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ind w:left="0" w:firstLine="0"/>
              <w:rPr>
                <w:rFonts w:ascii="Lexend" w:cs="Lexend" w:eastAsia="Lexend" w:hAnsi="Lexend"/>
                <w:color w:val="202124"/>
              </w:rPr>
            </w:pPr>
            <w:r w:rsidDel="00000000" w:rsidR="00000000" w:rsidRPr="00000000">
              <w:rPr>
                <w:rFonts w:ascii="Lexend" w:cs="Lexend" w:eastAsia="Lexend" w:hAnsi="Lexend"/>
                <w:color w:val="202124"/>
                <w:rtl w:val="0"/>
              </w:rPr>
              <w:t xml:space="preserve">This methodology allows two types of projects: Land Management Unit level and Sourcing Region.</w:t>
              <w:br w:type="textWrapping"/>
              <w:br w:type="textWrapping"/>
              <w:t xml:space="preserve">From the methodology: “</w:t>
            </w:r>
            <w:r w:rsidDel="00000000" w:rsidR="00000000" w:rsidRPr="00000000">
              <w:rPr>
                <w:rFonts w:ascii="Lexend" w:cs="Lexend" w:eastAsia="Lexend" w:hAnsi="Lexend"/>
                <w:i w:val="1"/>
                <w:color w:val="202124"/>
                <w:rtl w:val="0"/>
              </w:rPr>
              <w:t xml:space="preserve">Sourcing region type of projects can be used when LMU field level type of data can not be accessed. In this case, aggregated emission factors must be used , which is expected to come with a higher standard deviation due to the compounding of uncertainty when aggregating for regional EFs, thus being on the conservative side. As such, project developers are expected to be incentivized in opting for LMU based projects due to the higher emission reduction potential, caused by the lower uncertainty. This is aligned with SBTi’s and GHGp’s directions of moving towards field level projects which can offer more transparency and traceability.</w:t>
            </w:r>
            <w:r w:rsidDel="00000000" w:rsidR="00000000" w:rsidRPr="00000000">
              <w:rPr>
                <w:rFonts w:ascii="Lexend" w:cs="Lexend" w:eastAsia="Lexend" w:hAnsi="Lexend"/>
                <w:color w:val="202124"/>
                <w:rtl w:val="0"/>
              </w:rPr>
              <w:t xml:space="preserve">”</w:t>
            </w:r>
          </w:p>
          <w:p w:rsidR="00000000" w:rsidDel="00000000" w:rsidP="00000000" w:rsidRDefault="00000000" w:rsidRPr="00000000" w14:paraId="0000003C">
            <w:pPr>
              <w:numPr>
                <w:ilvl w:val="0"/>
                <w:numId w:val="4"/>
              </w:numPr>
              <w:ind w:left="720" w:hanging="360"/>
              <w:rPr>
                <w:rFonts w:ascii="Lexend" w:cs="Lexend" w:eastAsia="Lexend" w:hAnsi="Lexend"/>
                <w:color w:val="202124"/>
              </w:rPr>
            </w:pPr>
            <w:r w:rsidDel="00000000" w:rsidR="00000000" w:rsidRPr="00000000">
              <w:rPr>
                <w:rFonts w:ascii="Lexend" w:cs="Lexend" w:eastAsia="Lexend" w:hAnsi="Lexend"/>
                <w:color w:val="202124"/>
                <w:rtl w:val="0"/>
              </w:rPr>
              <w:t xml:space="preserve">Do you agree with this approach? Or should there be any additional penalties for regional based projects?</w:t>
            </w:r>
            <w:r w:rsidDel="00000000" w:rsidR="00000000" w:rsidRPr="00000000">
              <w:rPr>
                <w:rtl w:val="0"/>
              </w:rPr>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Lexend" w:cs="Lexend" w:eastAsia="Lexend" w:hAnsi="Lexend"/>
              </w:rPr>
            </w:pPr>
            <w:r w:rsidDel="00000000" w:rsidR="00000000" w:rsidRPr="00000000">
              <w:rPr>
                <w:rFonts w:ascii="Lexend" w:cs="Lexend" w:eastAsia="Lexend" w:hAnsi="Lexend"/>
                <w:rtl w:val="0"/>
              </w:rPr>
              <w:t xml:space="preserve">Your input:</w:t>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br w:type="page"/>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tbl>
      <w:tblPr>
        <w:tblStyle w:val="Table9"/>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rPr>
                <w:rFonts w:ascii="Lexend" w:cs="Lexend" w:eastAsia="Lexend" w:hAnsi="Lexend"/>
                <w:b w:val="1"/>
                <w:color w:val="202124"/>
              </w:rPr>
            </w:pPr>
            <w:r w:rsidDel="00000000" w:rsidR="00000000" w:rsidRPr="00000000">
              <w:rPr>
                <w:rFonts w:ascii="Lexend" w:cs="Lexend" w:eastAsia="Lexend" w:hAnsi="Lexend"/>
                <w:b w:val="1"/>
                <w:color w:val="202124"/>
                <w:rtl w:val="0"/>
              </w:rPr>
              <w:t xml:space="preserve">2.4. Temporal boundaries</w:t>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rPr>
                <w:rFonts w:ascii="Lexend" w:cs="Lexend" w:eastAsia="Lexend" w:hAnsi="Lexend"/>
                <w:color w:val="202124"/>
              </w:rPr>
            </w:pPr>
            <w:r w:rsidDel="00000000" w:rsidR="00000000" w:rsidRPr="00000000">
              <w:rPr>
                <w:rFonts w:ascii="Lexend" w:cs="Lexend" w:eastAsia="Lexend" w:hAnsi="Lexend"/>
                <w:color w:val="202124"/>
                <w:rtl w:val="0"/>
              </w:rPr>
              <w:t xml:space="preserve">For </w:t>
            </w:r>
            <w:r w:rsidDel="00000000" w:rsidR="00000000" w:rsidRPr="00000000">
              <w:rPr>
                <w:rFonts w:ascii="Lexend" w:cs="Lexend" w:eastAsia="Lexend" w:hAnsi="Lexend"/>
                <w:color w:val="202124"/>
                <w:u w:val="single"/>
                <w:rtl w:val="0"/>
              </w:rPr>
              <w:t xml:space="preserve">LMU</w:t>
            </w:r>
            <w:r w:rsidDel="00000000" w:rsidR="00000000" w:rsidRPr="00000000">
              <w:rPr>
                <w:rFonts w:ascii="Lexend" w:cs="Lexend" w:eastAsia="Lexend" w:hAnsi="Lexend"/>
                <w:color w:val="202124"/>
                <w:rtl w:val="0"/>
              </w:rPr>
              <w:t xml:space="preserve"> type of projects</w:t>
            </w:r>
            <w:r w:rsidDel="00000000" w:rsidR="00000000" w:rsidRPr="00000000">
              <w:rPr>
                <w:rFonts w:ascii="Lexend" w:cs="Lexend" w:eastAsia="Lexend" w:hAnsi="Lexend"/>
                <w:color w:val="202124"/>
                <w:rtl w:val="0"/>
              </w:rPr>
              <w:t xml:space="preserve"> the temporal boundary is defined explicitly based on the specific management practices and is aligned with many academic studies. </w:t>
              <w:br w:type="textWrapping"/>
            </w:r>
          </w:p>
          <w:p w:rsidR="00000000" w:rsidDel="00000000" w:rsidP="00000000" w:rsidRDefault="00000000" w:rsidRPr="00000000" w14:paraId="00000043">
            <w:pPr>
              <w:rPr>
                <w:rFonts w:ascii="Lexend" w:cs="Lexend" w:eastAsia="Lexend" w:hAnsi="Lexend"/>
                <w:color w:val="202124"/>
              </w:rPr>
            </w:pPr>
            <w:r w:rsidDel="00000000" w:rsidR="00000000" w:rsidRPr="00000000">
              <w:rPr>
                <w:rFonts w:ascii="Lexend" w:cs="Lexend" w:eastAsia="Lexend" w:hAnsi="Lexend"/>
                <w:color w:val="202124"/>
                <w:rtl w:val="0"/>
              </w:rPr>
              <w:t xml:space="preserve">For the </w:t>
            </w:r>
            <w:r w:rsidDel="00000000" w:rsidR="00000000" w:rsidRPr="00000000">
              <w:rPr>
                <w:rFonts w:ascii="Lexend" w:cs="Lexend" w:eastAsia="Lexend" w:hAnsi="Lexend"/>
                <w:color w:val="202124"/>
                <w:u w:val="single"/>
                <w:rtl w:val="0"/>
              </w:rPr>
              <w:t xml:space="preserve">Sourcing Region</w:t>
            </w:r>
            <w:r w:rsidDel="00000000" w:rsidR="00000000" w:rsidRPr="00000000">
              <w:rPr>
                <w:rFonts w:ascii="Lexend" w:cs="Lexend" w:eastAsia="Lexend" w:hAnsi="Lexend"/>
                <w:color w:val="202124"/>
                <w:rtl w:val="0"/>
              </w:rPr>
              <w:t xml:space="preserve"> type of projects the temporal boundary is 1 year. This is because there can be many different crops and management practices in a Sourcing Region. </w:t>
              <w:br w:type="textWrapping"/>
            </w:r>
          </w:p>
          <w:p w:rsidR="00000000" w:rsidDel="00000000" w:rsidP="00000000" w:rsidRDefault="00000000" w:rsidRPr="00000000" w14:paraId="00000044">
            <w:pPr>
              <w:rPr>
                <w:rFonts w:ascii="Lexend" w:cs="Lexend" w:eastAsia="Lexend" w:hAnsi="Lexend"/>
                <w:color w:val="202124"/>
              </w:rPr>
            </w:pPr>
            <w:r w:rsidDel="00000000" w:rsidR="00000000" w:rsidRPr="00000000">
              <w:rPr>
                <w:rFonts w:ascii="Lexend" w:cs="Lexend" w:eastAsia="Lexend" w:hAnsi="Lexend"/>
                <w:color w:val="202124"/>
                <w:rtl w:val="0"/>
              </w:rPr>
              <w:t xml:space="preserve">But it can limit the potential of finding good emissions factors because of varying post season emissions which are hard to quantify. </w:t>
            </w:r>
          </w:p>
          <w:p w:rsidR="00000000" w:rsidDel="00000000" w:rsidP="00000000" w:rsidRDefault="00000000" w:rsidRPr="00000000" w14:paraId="00000045">
            <w:pPr>
              <w:numPr>
                <w:ilvl w:val="0"/>
                <w:numId w:val="6"/>
              </w:numPr>
              <w:ind w:left="720" w:hanging="360"/>
              <w:rPr>
                <w:rFonts w:ascii="Lexend" w:cs="Lexend" w:eastAsia="Lexend" w:hAnsi="Lexend"/>
                <w:color w:val="202124"/>
              </w:rPr>
            </w:pPr>
            <w:r w:rsidDel="00000000" w:rsidR="00000000" w:rsidRPr="00000000">
              <w:rPr>
                <w:rFonts w:ascii="Lexend" w:cs="Lexend" w:eastAsia="Lexend" w:hAnsi="Lexend"/>
                <w:color w:val="202124"/>
                <w:rtl w:val="0"/>
              </w:rPr>
              <w:t xml:space="preserve">Do you see opportunities to improve the temporal boundary definition for Sourcing Region level to reflect more the underlying management practices?</w:t>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Lexend" w:cs="Lexend" w:eastAsia="Lexend" w:hAnsi="Lexend"/>
              </w:rPr>
            </w:pPr>
            <w:r w:rsidDel="00000000" w:rsidR="00000000" w:rsidRPr="00000000">
              <w:rPr>
                <w:rFonts w:ascii="Lexend" w:cs="Lexend" w:eastAsia="Lexend" w:hAnsi="Lexend"/>
                <w:rtl w:val="0"/>
              </w:rPr>
              <w:t xml:space="preserve">Your input:</w:t>
            </w:r>
          </w:p>
        </w:tc>
      </w:tr>
    </w:tbl>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tbl>
      <w:tblPr>
        <w:tblStyle w:val="Table10"/>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rPr>
                <w:rFonts w:ascii="Lexend" w:cs="Lexend" w:eastAsia="Lexend" w:hAnsi="Lexend"/>
                <w:b w:val="1"/>
                <w:color w:val="202124"/>
              </w:rPr>
            </w:pPr>
            <w:r w:rsidDel="00000000" w:rsidR="00000000" w:rsidRPr="00000000">
              <w:rPr>
                <w:rFonts w:ascii="Lexend" w:cs="Lexend" w:eastAsia="Lexend" w:hAnsi="Lexend"/>
                <w:b w:val="1"/>
                <w:color w:val="202124"/>
                <w:rtl w:val="0"/>
              </w:rPr>
              <w:t xml:space="preserve">3 Baseline scenario</w:t>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rPr>
                <w:rFonts w:ascii="Lexend" w:cs="Lexend" w:eastAsia="Lexend" w:hAnsi="Lexend"/>
                <w:color w:val="202124"/>
              </w:rPr>
            </w:pPr>
            <w:r w:rsidDel="00000000" w:rsidR="00000000" w:rsidRPr="00000000">
              <w:rPr>
                <w:rFonts w:ascii="Lexend" w:cs="Lexend" w:eastAsia="Lexend" w:hAnsi="Lexend"/>
                <w:color w:val="202124"/>
                <w:rtl w:val="0"/>
              </w:rPr>
              <w:t xml:space="preserve">The methodology outlines steps for determining the baseline for the different kinds of spatial level projects</w:t>
            </w:r>
            <w:r w:rsidDel="00000000" w:rsidR="00000000" w:rsidRPr="00000000">
              <w:rPr>
                <w:rFonts w:ascii="Lexend" w:cs="Lexend" w:eastAsia="Lexend" w:hAnsi="Lexend"/>
                <w:color w:val="202124"/>
                <w:rtl w:val="0"/>
              </w:rPr>
              <w:t xml:space="preserve">. Specifically:</w:t>
            </w:r>
          </w:p>
          <w:p w:rsidR="00000000" w:rsidDel="00000000" w:rsidP="00000000" w:rsidRDefault="00000000" w:rsidRPr="00000000" w14:paraId="0000004B">
            <w:pPr>
              <w:rPr>
                <w:rFonts w:ascii="Lexend" w:cs="Lexend" w:eastAsia="Lexend" w:hAnsi="Lexend"/>
                <w:color w:val="202124"/>
                <w:u w:val="single"/>
              </w:rPr>
            </w:pPr>
            <w:r w:rsidDel="00000000" w:rsidR="00000000" w:rsidRPr="00000000">
              <w:rPr>
                <w:rtl w:val="0"/>
              </w:rPr>
            </w:r>
          </w:p>
          <w:p w:rsidR="00000000" w:rsidDel="00000000" w:rsidP="00000000" w:rsidRDefault="00000000" w:rsidRPr="00000000" w14:paraId="0000004C">
            <w:pPr>
              <w:rPr>
                <w:rFonts w:ascii="Lexend" w:cs="Lexend" w:eastAsia="Lexend" w:hAnsi="Lexend"/>
                <w:color w:val="202124"/>
              </w:rPr>
            </w:pPr>
            <w:r w:rsidDel="00000000" w:rsidR="00000000" w:rsidRPr="00000000">
              <w:rPr>
                <w:rFonts w:ascii="Lexend" w:cs="Lexend" w:eastAsia="Lexend" w:hAnsi="Lexend"/>
                <w:color w:val="202124"/>
                <w:u w:val="single"/>
                <w:rtl w:val="0"/>
              </w:rPr>
              <w:t xml:space="preserve">1. Land Management Unit (LMU) Approach</w:t>
            </w:r>
            <w:r w:rsidDel="00000000" w:rsidR="00000000" w:rsidRPr="00000000">
              <w:rPr>
                <w:rFonts w:ascii="Lexend" w:cs="Lexend" w:eastAsia="Lexend" w:hAnsi="Lexend"/>
                <w:color w:val="202124"/>
                <w:rtl w:val="0"/>
              </w:rPr>
              <w:t xml:space="preserve">: The baseline is defined at the field level and assumes the same nitrogen application rate as the project but without using a nitrogen stabilizer. It reflects current seasonal decisions, with untreated fertilizer serving as the reference. This counterfactual baseline is updated every crop cycle and ensures that emission reductions are only attributed to the use of stabilizers—not to changes in N application rate unless justified by improved nitrogen use efficiency (NUE).</w:t>
            </w:r>
          </w:p>
          <w:p w:rsidR="00000000" w:rsidDel="00000000" w:rsidP="00000000" w:rsidRDefault="00000000" w:rsidRPr="00000000" w14:paraId="0000004D">
            <w:pPr>
              <w:rPr>
                <w:rFonts w:ascii="Lexend" w:cs="Lexend" w:eastAsia="Lexend" w:hAnsi="Lexend"/>
                <w:color w:val="202124"/>
                <w:u w:val="single"/>
              </w:rPr>
            </w:pPr>
            <w:r w:rsidDel="00000000" w:rsidR="00000000" w:rsidRPr="00000000">
              <w:rPr>
                <w:rtl w:val="0"/>
              </w:rPr>
            </w:r>
          </w:p>
          <w:p w:rsidR="00000000" w:rsidDel="00000000" w:rsidP="00000000" w:rsidRDefault="00000000" w:rsidRPr="00000000" w14:paraId="0000004E">
            <w:pPr>
              <w:rPr>
                <w:rFonts w:ascii="Lexend" w:cs="Lexend" w:eastAsia="Lexend" w:hAnsi="Lexend"/>
                <w:color w:val="202124"/>
              </w:rPr>
            </w:pPr>
            <w:r w:rsidDel="00000000" w:rsidR="00000000" w:rsidRPr="00000000">
              <w:rPr>
                <w:rFonts w:ascii="Lexend" w:cs="Lexend" w:eastAsia="Lexend" w:hAnsi="Lexend"/>
                <w:color w:val="202124"/>
                <w:u w:val="single"/>
                <w:rtl w:val="0"/>
              </w:rPr>
              <w:t xml:space="preserve">2. Sourcing Region Approach</w:t>
            </w:r>
            <w:r w:rsidDel="00000000" w:rsidR="00000000" w:rsidRPr="00000000">
              <w:rPr>
                <w:rFonts w:ascii="Lexend" w:cs="Lexend" w:eastAsia="Lexend" w:hAnsi="Lexend"/>
                <w:color w:val="202124"/>
                <w:rtl w:val="0"/>
              </w:rPr>
              <w:t xml:space="preserve">: </w:t>
            </w:r>
            <w:r w:rsidDel="00000000" w:rsidR="00000000" w:rsidRPr="00000000">
              <w:rPr>
                <w:rFonts w:ascii="Lexend" w:cs="Lexend" w:eastAsia="Lexend" w:hAnsi="Lexend"/>
                <w:color w:val="202124"/>
                <w:rtl w:val="0"/>
              </w:rPr>
              <w:t xml:space="preserve">The baseline is established at a broader regional scale, based on average fertilizer practices and the quantity of stabilized fertilizer sold. Emissions are calculated assuming standard regional practices without stabilizers, incorporating region-specific data on fertilizer rates, yields, and management. This average emission factor is revised at least every two years and emphasizes representativeness and conservativeness to avoid overstating project benefits.</w:t>
            </w:r>
          </w:p>
          <w:p w:rsidR="00000000" w:rsidDel="00000000" w:rsidP="00000000" w:rsidRDefault="00000000" w:rsidRPr="00000000" w14:paraId="0000004F">
            <w:pPr>
              <w:numPr>
                <w:ilvl w:val="0"/>
                <w:numId w:val="2"/>
              </w:numPr>
              <w:ind w:left="720" w:hanging="360"/>
              <w:rPr>
                <w:rFonts w:ascii="Lexend" w:cs="Lexend" w:eastAsia="Lexend" w:hAnsi="Lexend"/>
                <w:color w:val="202124"/>
              </w:rPr>
            </w:pPr>
            <w:r w:rsidDel="00000000" w:rsidR="00000000" w:rsidRPr="00000000">
              <w:rPr>
                <w:rFonts w:ascii="Lexend" w:cs="Lexend" w:eastAsia="Lexend" w:hAnsi="Lexend"/>
                <w:color w:val="202124"/>
                <w:rtl w:val="0"/>
              </w:rPr>
              <w:t xml:space="preserve">How clear and practical do you find these approaches? Please provide your feedback on the clarity and feasibility of these guidelines.</w:t>
            </w:r>
            <w:r w:rsidDel="00000000" w:rsidR="00000000" w:rsidRPr="00000000">
              <w:rPr>
                <w:rtl w:val="0"/>
              </w:rPr>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Lexend" w:cs="Lexend" w:eastAsia="Lexend" w:hAnsi="Lexend"/>
              </w:rPr>
            </w:pPr>
            <w:r w:rsidDel="00000000" w:rsidR="00000000" w:rsidRPr="00000000">
              <w:rPr>
                <w:rFonts w:ascii="Lexend" w:cs="Lexend" w:eastAsia="Lexend" w:hAnsi="Lexend"/>
                <w:rtl w:val="0"/>
              </w:rPr>
              <w:t xml:space="preserve">Your input:</w:t>
            </w:r>
          </w:p>
        </w:tc>
      </w:tr>
    </w:tbl>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tbl>
      <w:tblPr>
        <w:tblStyle w:val="Table1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rPr>
                <w:rFonts w:ascii="Lexend" w:cs="Lexend" w:eastAsia="Lexend" w:hAnsi="Lexend"/>
                <w:b w:val="1"/>
                <w:color w:val="202124"/>
              </w:rPr>
            </w:pPr>
            <w:r w:rsidDel="00000000" w:rsidR="00000000" w:rsidRPr="00000000">
              <w:rPr>
                <w:rFonts w:ascii="Lexend" w:cs="Lexend" w:eastAsia="Lexend" w:hAnsi="Lexend"/>
                <w:b w:val="1"/>
                <w:color w:val="202124"/>
                <w:rtl w:val="0"/>
              </w:rPr>
              <w:t xml:space="preserve">4 Calculation of GHG emissions</w:t>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numPr>
                <w:ilvl w:val="0"/>
                <w:numId w:val="5"/>
              </w:numPr>
              <w:ind w:left="720" w:hanging="360"/>
              <w:rPr>
                <w:rFonts w:ascii="Lexend" w:cs="Lexend" w:eastAsia="Lexend" w:hAnsi="Lexend"/>
                <w:color w:val="202124"/>
              </w:rPr>
            </w:pPr>
            <w:r w:rsidDel="00000000" w:rsidR="00000000" w:rsidRPr="00000000">
              <w:rPr>
                <w:rFonts w:ascii="Lexend" w:cs="Lexend" w:eastAsia="Lexend" w:hAnsi="Lexend"/>
                <w:color w:val="202124"/>
                <w:rtl w:val="0"/>
              </w:rPr>
              <w:t xml:space="preserve">How clear is the calculation methodology for all included activities? </w:t>
            </w:r>
          </w:p>
          <w:p w:rsidR="00000000" w:rsidDel="00000000" w:rsidP="00000000" w:rsidRDefault="00000000" w:rsidRPr="00000000" w14:paraId="00000055">
            <w:pPr>
              <w:numPr>
                <w:ilvl w:val="0"/>
                <w:numId w:val="5"/>
              </w:numPr>
              <w:ind w:left="720" w:hanging="360"/>
              <w:rPr>
                <w:rFonts w:ascii="Lexend" w:cs="Lexend" w:eastAsia="Lexend" w:hAnsi="Lexend"/>
                <w:color w:val="202124"/>
              </w:rPr>
            </w:pPr>
            <w:r w:rsidDel="00000000" w:rsidR="00000000" w:rsidRPr="00000000">
              <w:rPr>
                <w:rFonts w:ascii="Lexend" w:cs="Lexend" w:eastAsia="Lexend" w:hAnsi="Lexend"/>
                <w:color w:val="202124"/>
                <w:rtl w:val="0"/>
              </w:rPr>
              <w:t xml:space="preserve">Are there any parts that could be better explained or any aspects that might lead to ambiguity?</w:t>
            </w:r>
            <w:r w:rsidDel="00000000" w:rsidR="00000000" w:rsidRPr="00000000">
              <w:rPr>
                <w:rtl w:val="0"/>
              </w:rPr>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Lexend" w:cs="Lexend" w:eastAsia="Lexend" w:hAnsi="Lexend"/>
              </w:rPr>
            </w:pPr>
            <w:r w:rsidDel="00000000" w:rsidR="00000000" w:rsidRPr="00000000">
              <w:rPr>
                <w:rFonts w:ascii="Lexend" w:cs="Lexend" w:eastAsia="Lexend" w:hAnsi="Lexend"/>
                <w:rtl w:val="0"/>
              </w:rPr>
              <w:t xml:space="preserve">Your input:</w:t>
            </w:r>
          </w:p>
        </w:tc>
      </w:tr>
    </w:tbl>
    <w:p w:rsidR="00000000" w:rsidDel="00000000" w:rsidP="00000000" w:rsidRDefault="00000000" w:rsidRPr="00000000" w14:paraId="00000057">
      <w:pPr>
        <w:rPr/>
      </w:pPr>
      <w:r w:rsidDel="00000000" w:rsidR="00000000" w:rsidRPr="00000000">
        <w:rPr>
          <w:rtl w:val="0"/>
        </w:rPr>
      </w:r>
    </w:p>
    <w:tbl>
      <w:tblPr>
        <w:tblStyle w:val="Table1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rPr>
                <w:rFonts w:ascii="Lexend" w:cs="Lexend" w:eastAsia="Lexend" w:hAnsi="Lexend"/>
                <w:b w:val="1"/>
                <w:color w:val="202124"/>
              </w:rPr>
            </w:pPr>
            <w:r w:rsidDel="00000000" w:rsidR="00000000" w:rsidRPr="00000000">
              <w:rPr>
                <w:rFonts w:ascii="Lexend" w:cs="Lexend" w:eastAsia="Lexend" w:hAnsi="Lexend"/>
                <w:b w:val="1"/>
                <w:color w:val="202124"/>
                <w:rtl w:val="0"/>
              </w:rPr>
              <w:t xml:space="preserve">5 Net reduction of GHG emissions</w:t>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numPr>
                <w:ilvl w:val="0"/>
                <w:numId w:val="5"/>
              </w:numPr>
              <w:ind w:left="720" w:hanging="360"/>
              <w:rPr>
                <w:rFonts w:ascii="Lexend" w:cs="Lexend" w:eastAsia="Lexend" w:hAnsi="Lexend"/>
                <w:color w:val="202124"/>
                <w:u w:val="none"/>
              </w:rPr>
            </w:pPr>
            <w:r w:rsidDel="00000000" w:rsidR="00000000" w:rsidRPr="00000000">
              <w:rPr>
                <w:rFonts w:ascii="Lexend" w:cs="Lexend" w:eastAsia="Lexend" w:hAnsi="Lexend"/>
                <w:color w:val="202124"/>
                <w:rtl w:val="0"/>
              </w:rPr>
              <w:t xml:space="preserve">How clear is the guidance on the types of data and parameters required for making accurate calculations? </w:t>
            </w:r>
          </w:p>
          <w:p w:rsidR="00000000" w:rsidDel="00000000" w:rsidP="00000000" w:rsidRDefault="00000000" w:rsidRPr="00000000" w14:paraId="0000005A">
            <w:pPr>
              <w:numPr>
                <w:ilvl w:val="0"/>
                <w:numId w:val="5"/>
              </w:numPr>
              <w:ind w:left="720" w:hanging="360"/>
              <w:rPr>
                <w:rFonts w:ascii="Lexend" w:cs="Lexend" w:eastAsia="Lexend" w:hAnsi="Lexend"/>
                <w:color w:val="202124"/>
                <w:u w:val="none"/>
              </w:rPr>
            </w:pPr>
            <w:r w:rsidDel="00000000" w:rsidR="00000000" w:rsidRPr="00000000">
              <w:rPr>
                <w:rFonts w:ascii="Lexend" w:cs="Lexend" w:eastAsia="Lexend" w:hAnsi="Lexend"/>
                <w:color w:val="202124"/>
                <w:rtl w:val="0"/>
              </w:rPr>
              <w:t xml:space="preserve">Are there any additional data points or parameters that should be collected to ensure robust outcomes?</w:t>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Lexend" w:cs="Lexend" w:eastAsia="Lexend" w:hAnsi="Lexend"/>
              </w:rPr>
            </w:pPr>
            <w:r w:rsidDel="00000000" w:rsidR="00000000" w:rsidRPr="00000000">
              <w:rPr>
                <w:rFonts w:ascii="Lexend" w:cs="Lexend" w:eastAsia="Lexend" w:hAnsi="Lexend"/>
                <w:rtl w:val="0"/>
              </w:rPr>
              <w:t xml:space="preserve">Your input:</w:t>
            </w:r>
          </w:p>
        </w:tc>
      </w:tr>
    </w:tbl>
    <w:p w:rsidR="00000000" w:rsidDel="00000000" w:rsidP="00000000" w:rsidRDefault="00000000" w:rsidRPr="00000000" w14:paraId="0000005C">
      <w:pPr>
        <w:rPr/>
      </w:pPr>
      <w:r w:rsidDel="00000000" w:rsidR="00000000" w:rsidRPr="00000000">
        <w:rPr>
          <w:rtl w:val="0"/>
        </w:rPr>
      </w:r>
    </w:p>
    <w:tbl>
      <w:tblPr>
        <w:tblStyle w:val="Table1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rPr>
                <w:rFonts w:ascii="Lexend" w:cs="Lexend" w:eastAsia="Lexend" w:hAnsi="Lexend"/>
                <w:b w:val="1"/>
                <w:color w:val="202124"/>
              </w:rPr>
            </w:pPr>
            <w:r w:rsidDel="00000000" w:rsidR="00000000" w:rsidRPr="00000000">
              <w:rPr>
                <w:rFonts w:ascii="Lexend" w:cs="Lexend" w:eastAsia="Lexend" w:hAnsi="Lexend"/>
                <w:b w:val="1"/>
                <w:color w:val="202124"/>
                <w:rtl w:val="0"/>
              </w:rPr>
              <w:t xml:space="preserve">Additional feedback</w:t>
            </w:r>
            <w:r w:rsidDel="00000000" w:rsidR="00000000" w:rsidRPr="00000000">
              <w:rPr>
                <w:rtl w:val="0"/>
              </w:rPr>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ind w:left="0" w:firstLine="0"/>
              <w:rPr>
                <w:rFonts w:ascii="Lexend" w:cs="Lexend" w:eastAsia="Lexend" w:hAnsi="Lexend"/>
                <w:color w:val="202124"/>
              </w:rPr>
            </w:pPr>
            <w:r w:rsidDel="00000000" w:rsidR="00000000" w:rsidRPr="00000000">
              <w:rPr>
                <w:rFonts w:ascii="Lexend" w:cs="Lexend" w:eastAsia="Lexend" w:hAnsi="Lexend"/>
                <w:color w:val="202124"/>
                <w:rtl w:val="0"/>
              </w:rPr>
              <w:t xml:space="preserve">For other feedback, comments, or proposed changes not pertaining to the above questions, please leave your input here.</w:t>
            </w:r>
            <w:r w:rsidDel="00000000" w:rsidR="00000000" w:rsidRPr="00000000">
              <w:rPr>
                <w:rtl w:val="0"/>
              </w:rPr>
            </w:r>
          </w:p>
        </w:tc>
      </w:tr>
      <w:tr>
        <w:trPr>
          <w:cantSplit w:val="0"/>
          <w:tblHeader w:val="0"/>
        </w:trPr>
        <w:tc>
          <w:tcPr>
            <w:tcBorders>
              <w:top w:color="82cdb5" w:space="0" w:sz="8" w:val="single"/>
              <w:left w:color="82cdb5" w:space="0" w:sz="8" w:val="single"/>
              <w:bottom w:color="82cdb5" w:space="0" w:sz="8" w:val="single"/>
              <w:right w:color="82cdb5"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Lexend" w:cs="Lexend" w:eastAsia="Lexend" w:hAnsi="Lexend"/>
              </w:rPr>
            </w:pPr>
            <w:r w:rsidDel="00000000" w:rsidR="00000000" w:rsidRPr="00000000">
              <w:rPr>
                <w:rFonts w:ascii="Lexend" w:cs="Lexend" w:eastAsia="Lexend" w:hAnsi="Lexend"/>
                <w:rtl w:val="0"/>
              </w:rPr>
              <w:t xml:space="preserve">Your input:</w:t>
            </w:r>
          </w:p>
        </w:tc>
      </w:tr>
    </w:tbl>
    <w:p w:rsidR="00000000" w:rsidDel="00000000" w:rsidP="00000000" w:rsidRDefault="00000000" w:rsidRPr="00000000" w14:paraId="00000060">
      <w:pPr>
        <w:ind w:left="0" w:firstLine="0"/>
        <w:rPr>
          <w:rFonts w:ascii="Lexend" w:cs="Lexend" w:eastAsia="Lexend" w:hAnsi="Lexend"/>
          <w:color w:val="202124"/>
        </w:rPr>
      </w:pPr>
      <w:r w:rsidDel="00000000" w:rsidR="00000000" w:rsidRPr="00000000">
        <w:rPr>
          <w:rtl w:val="0"/>
        </w:rPr>
      </w:r>
    </w:p>
    <w:sectPr>
      <w:type w:val="nextPage"/>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color w:val="666666"/>
        <w:sz w:val="16"/>
        <w:szCs w:val="16"/>
      </w:rPr>
    </w:pPr>
    <w:r w:rsidDel="00000000" w:rsidR="00000000" w:rsidRPr="00000000">
      <w:rPr>
        <w:color w:val="666666"/>
        <w:sz w:val="16"/>
        <w:szCs w:val="16"/>
        <w:rtl w:val="0"/>
      </w:rPr>
      <w:t xml:space="preserve">Proba Methodology response template: Adoption of nitrogen stabilizers to transition to low-carbon agriculture.</w:t>
    </w:r>
  </w:p>
  <w:p w:rsidR="00000000" w:rsidDel="00000000" w:rsidP="00000000" w:rsidRDefault="00000000" w:rsidRPr="00000000" w14:paraId="00000063">
    <w:pPr>
      <w:rPr>
        <w:color w:val="666666"/>
        <w:sz w:val="16"/>
        <w:szCs w:val="16"/>
      </w:rPr>
    </w:pPr>
    <w:r w:rsidDel="00000000" w:rsidR="00000000" w:rsidRPr="00000000">
      <w:rPr>
        <w:color w:val="666666"/>
        <w:sz w:val="16"/>
        <w:szCs w:val="16"/>
        <w:rtl w:val="0"/>
      </w:rPr>
      <w:t xml:space="preserve">Copyright © 2025, this document is the property of Proba. Any use requires prior written permission.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drawing>
        <wp:inline distB="114300" distT="114300" distL="114300" distR="114300">
          <wp:extent cx="1028700" cy="3000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8700" cy="3000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roba.earth/nitrogen_stabilizers_methodology"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